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35" w:rsidRPr="00101A35" w:rsidRDefault="00101A35" w:rsidP="00101A3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01A35" w:rsidRPr="00101A35" w:rsidRDefault="00101A35" w:rsidP="00101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01A3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6384E04" wp14:editId="2915D2A9">
            <wp:simplePos x="0" y="0"/>
            <wp:positionH relativeFrom="column">
              <wp:posOffset>2660188</wp:posOffset>
            </wp:positionH>
            <wp:positionV relativeFrom="paragraph">
              <wp:posOffset>3810</wp:posOffset>
            </wp:positionV>
            <wp:extent cx="534035" cy="569595"/>
            <wp:effectExtent l="0" t="0" r="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A35" w:rsidRPr="00101A35" w:rsidRDefault="00101A35" w:rsidP="00101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01A35" w:rsidRPr="00101A35" w:rsidRDefault="00101A35" w:rsidP="00101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01A35" w:rsidRPr="00101A35" w:rsidRDefault="00101A35" w:rsidP="00101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01A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 Р О Ї Ц Ь К А   С І Л Ь С Ь К А    Р А Д А</w:t>
      </w:r>
    </w:p>
    <w:p w:rsidR="00101A35" w:rsidRPr="00101A35" w:rsidRDefault="00101A35" w:rsidP="00101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01A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 А В Л О Г Р А Д С Ь К О Г О     Р А Й О Н У</w:t>
      </w:r>
    </w:p>
    <w:p w:rsidR="00101A35" w:rsidRPr="00101A35" w:rsidRDefault="00101A35" w:rsidP="00101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01A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 Н І П Р О П Е Т Р О В С Ь К О Ї    О Б Л А С Т І</w:t>
      </w:r>
    </w:p>
    <w:p w:rsidR="00101A35" w:rsidRPr="00101A35" w:rsidRDefault="00101A35" w:rsidP="00101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01A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СОРОК  ДРУГА СЕСІЯ  СЬОМОГО СКЛИКАННЯ</w:t>
      </w:r>
    </w:p>
    <w:p w:rsidR="00101A35" w:rsidRPr="00101A35" w:rsidRDefault="00101A35" w:rsidP="00101A35">
      <w:pPr>
        <w:tabs>
          <w:tab w:val="left" w:pos="0"/>
          <w:tab w:val="left" w:pos="1989"/>
        </w:tabs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01A35" w:rsidRPr="00101A35" w:rsidRDefault="00101A35" w:rsidP="00101A35">
      <w:pPr>
        <w:tabs>
          <w:tab w:val="left" w:pos="0"/>
        </w:tabs>
        <w:spacing w:after="0" w:line="240" w:lineRule="auto"/>
        <w:ind w:left="107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01A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Р І Ш Е Н </w:t>
      </w:r>
      <w:proofErr w:type="spellStart"/>
      <w:r w:rsidRPr="00101A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101A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101A35" w:rsidRPr="00101A35" w:rsidRDefault="00101A35" w:rsidP="00101A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 встановлення ставок та пільг із сплати податку на </w:t>
      </w:r>
      <w:r w:rsidRPr="00101A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нерухоме майно, відмінне від земельної ділянки</w:t>
      </w:r>
      <w:r w:rsidRPr="00101A3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на території</w:t>
      </w:r>
    </w:p>
    <w:p w:rsidR="00101A35" w:rsidRPr="00101A35" w:rsidRDefault="00101A35" w:rsidP="0010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Троїцької сільської ради </w:t>
      </w:r>
    </w:p>
    <w:p w:rsidR="00101A35" w:rsidRPr="00101A35" w:rsidRDefault="00101A35" w:rsidP="00101A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101A35" w:rsidRPr="00101A35" w:rsidRDefault="00101A35" w:rsidP="00101A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24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Закону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101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</w:t>
      </w:r>
      <w:proofErr w:type="spellEnd"/>
      <w:r w:rsidRPr="00101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рада ВИРІШИЛА</w:t>
      </w: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A35" w:rsidRPr="00101A35" w:rsidRDefault="00101A35" w:rsidP="00101A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Троїцької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ради:</w:t>
      </w:r>
    </w:p>
    <w:p w:rsidR="00101A35" w:rsidRPr="00101A35" w:rsidRDefault="00101A35" w:rsidP="00101A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ставки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відмінне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101A35" w:rsidRPr="00101A35" w:rsidRDefault="00101A35" w:rsidP="00101A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підпункту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266.4.2 пункту 266.4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101A35" w:rsidRPr="00101A35" w:rsidRDefault="00101A35" w:rsidP="00101A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01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року.</w:t>
      </w:r>
    </w:p>
    <w:p w:rsidR="00101A35" w:rsidRPr="00101A35" w:rsidRDefault="00101A35" w:rsidP="00101A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Секретарю ради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Рідний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край», не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у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десятиденний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на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101A35" w:rsidRPr="00101A35" w:rsidRDefault="00101A35" w:rsidP="00101A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Дане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proofErr w:type="gram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сплатою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proofErr w:type="gram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01A35" w:rsidRPr="00101A35" w:rsidRDefault="00101A35" w:rsidP="00101A35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 за</w:t>
      </w:r>
      <w:proofErr w:type="gram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 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бюджету та </w:t>
      </w:r>
      <w:proofErr w:type="spellStart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фінансів</w:t>
      </w:r>
      <w:proofErr w:type="spellEnd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101A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села</w:t>
      </w: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A35" w:rsidRPr="00101A35" w:rsidRDefault="00101A35" w:rsidP="00101A35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35" w:rsidRPr="00101A35" w:rsidRDefault="00101A35" w:rsidP="00101A35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35" w:rsidRPr="00101A35" w:rsidRDefault="00101A35" w:rsidP="00101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101A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Сільський</w:t>
      </w:r>
      <w:proofErr w:type="spellEnd"/>
      <w:r w:rsidRPr="00101A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голова</w:t>
      </w:r>
      <w:proofErr w:type="gramEnd"/>
      <w:r w:rsidRPr="00101A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101A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О.О.Чуприна</w:t>
      </w:r>
      <w:proofErr w:type="spellEnd"/>
    </w:p>
    <w:p w:rsidR="00101A35" w:rsidRPr="00101A35" w:rsidRDefault="00101A35" w:rsidP="00101A35">
      <w:pPr>
        <w:tabs>
          <w:tab w:val="right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A35" w:rsidRPr="00101A35" w:rsidRDefault="00101A35" w:rsidP="00101A35">
      <w:pPr>
        <w:tabs>
          <w:tab w:val="right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Pr="0010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Троїцьке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</w:t>
      </w:r>
    </w:p>
    <w:p w:rsidR="00101A35" w:rsidRPr="00101A35" w:rsidRDefault="00101A35" w:rsidP="00101A35">
      <w:pPr>
        <w:tabs>
          <w:tab w:val="right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червня</w:t>
      </w: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року                                                                                                                             №</w:t>
      </w: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1099-42</w:t>
      </w: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101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           </w:t>
      </w:r>
    </w:p>
    <w:p w:rsidR="00101A35" w:rsidRPr="00101A35" w:rsidRDefault="00101A35" w:rsidP="00101A35">
      <w:pPr>
        <w:spacing w:after="15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1A35" w:rsidRPr="00101A35" w:rsidRDefault="00101A35" w:rsidP="00101A35">
      <w:pPr>
        <w:spacing w:after="15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1A35" w:rsidRPr="00101A35" w:rsidRDefault="00101A35" w:rsidP="00101A35">
      <w:pPr>
        <w:spacing w:after="15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1A35" w:rsidRPr="00101A35" w:rsidRDefault="00101A35" w:rsidP="00101A35">
      <w:pPr>
        <w:spacing w:after="15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1A35" w:rsidRPr="00101A35" w:rsidRDefault="00101A35" w:rsidP="001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101A35" w:rsidRPr="00101A35" w:rsidRDefault="00101A35" w:rsidP="00101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01A35" w:rsidRPr="00101A35" w:rsidRDefault="00101A35" w:rsidP="00101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101A35" w:rsidRPr="00101A35" w:rsidRDefault="00101A35" w:rsidP="00101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16 червня 2020р </w:t>
      </w:r>
      <w:r w:rsidRPr="001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1099-42/VII </w:t>
      </w:r>
    </w:p>
    <w:p w:rsidR="00101A35" w:rsidRPr="00101A35" w:rsidRDefault="00101A35" w:rsidP="00101A35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101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101A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</w:p>
    <w:p w:rsidR="00101A35" w:rsidRPr="00101A35" w:rsidRDefault="00101A35" w:rsidP="00101A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2021 рік та вводяться в дію</w:t>
      </w: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2021 року.</w:t>
      </w:r>
    </w:p>
    <w:p w:rsidR="00101A35" w:rsidRPr="00101A35" w:rsidRDefault="00101A35" w:rsidP="00101A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101A35" w:rsidRPr="00101A35" w:rsidRDefault="00101A35" w:rsidP="00101A35">
      <w:pPr>
        <w:tabs>
          <w:tab w:val="left" w:pos="993"/>
          <w:tab w:val="left" w:pos="1134"/>
        </w:tabs>
        <w:spacing w:before="100" w:beforeAutospacing="1" w:after="100" w:afterAutospacing="1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База оподаткування об’єктів житлової нерухомості, у тому числі їх часток, що перебуває у власності фізичної або юридичної особи - платника податку, зменшується: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2"/>
        <w:gridCol w:w="3207"/>
      </w:tblGrid>
      <w:tr w:rsidR="00101A35" w:rsidRPr="00101A35" w:rsidTr="005F01F6"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Об’єкти нерухомості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розмір</w:t>
            </w:r>
          </w:p>
        </w:tc>
      </w:tr>
      <w:tr w:rsidR="00101A35" w:rsidRPr="00101A35" w:rsidTr="005F01F6"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для квартири/квартир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 60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метрів</w:t>
            </w:r>
          </w:p>
        </w:tc>
      </w:tr>
      <w:tr w:rsidR="00101A35" w:rsidRPr="00101A35" w:rsidTr="005F01F6"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для житлового будинку/будинків незалежно від їх кількості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 120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метрів</w:t>
            </w:r>
          </w:p>
        </w:tc>
      </w:tr>
      <w:tr w:rsidR="00101A35" w:rsidRPr="00101A35" w:rsidTr="005F01F6"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для різних видів об’єктів житлової нерухомості, в тому числі їх часток (у разі одночасного перебування у власності платника податку квартири/ квартир та житлового будинку/будинків, у тому числі їх часток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 180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метрів</w:t>
            </w:r>
          </w:p>
        </w:tc>
      </w:tr>
    </w:tbl>
    <w:p w:rsidR="00101A35" w:rsidRPr="00101A35" w:rsidRDefault="00101A35" w:rsidP="00101A35">
      <w:pPr>
        <w:tabs>
          <w:tab w:val="left" w:pos="993"/>
          <w:tab w:val="left" w:pos="1134"/>
        </w:tabs>
        <w:spacing w:before="100" w:beforeAutospacing="1" w:after="100" w:afterAutospacing="1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надається один раз за базовий податковий (звітний) період (рік).</w:t>
      </w:r>
    </w:p>
    <w:p w:rsidR="00101A35" w:rsidRPr="00101A35" w:rsidRDefault="00101A35" w:rsidP="00101A35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Пільга встановлюється з об’єктів житлової та/або нежитлової нерухомості, що перебувають у власності:</w:t>
      </w:r>
    </w:p>
    <w:p w:rsidR="00101A35" w:rsidRPr="00101A35" w:rsidRDefault="00101A35" w:rsidP="00101A35">
      <w:pPr>
        <w:widowControl w:val="0"/>
        <w:spacing w:after="0" w:line="27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5"/>
        <w:gridCol w:w="2664"/>
      </w:tblGrid>
      <w:tr w:rsidR="00101A35" w:rsidRPr="00101A35" w:rsidTr="005F01F6">
        <w:trPr>
          <w:trHeight w:val="3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Група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платників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категорія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класифікація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будівель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споруд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Розмір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пільги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,(</w:t>
            </w:r>
            <w:proofErr w:type="gramEnd"/>
            <w:r w:rsidRPr="00101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%)</w:t>
            </w:r>
          </w:p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фізичних осіб - на площу господарських (присадибних) будівель, до яких належать сараї та хліви, що    використовуються для утримання свійської худоби та   птиці для власного споживання, вбиральні, погреби, навіси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будівлі дитячих будинків сімейного типу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гуртожитки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будівлі промисловості, зокрема виробничі корпуси, цехи, складські приміщення промислових підприємств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будівлі, споруди сільськогосподарських товаровиробників, призначені для використання безпосередньо у сільськогосподарській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житлової та нежитлової нерухомості, які перебувають у власності громадських організацій інвалідів та їх підприємств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інвалідів, дитячо-юнацьких спортивних шкіл, а також центрів олімпійської 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нежитлової нерухомості баз олімпійської та параолімпійської підготовки. Перелік таких баз затверджується Кабінетом Міністрів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об’єкти житлової нерухомості, які належать багатодітним або прийомним сім’ям, у яких виховується п’ять та більше дітей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1A35" w:rsidRPr="00101A35" w:rsidTr="005F01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інвалідам І та ІІ групи;</w:t>
            </w:r>
          </w:p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б) учасникам бойових дій;</w:t>
            </w:r>
          </w:p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в) ліквідаторам аварії на ЧАЕС;</w:t>
            </w:r>
          </w:p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г) багатодітним сім’ям;</w:t>
            </w:r>
          </w:p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д) малозабезпеченим сім’ям;</w:t>
            </w:r>
          </w:p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ж) учасникам АТО;</w:t>
            </w:r>
          </w:p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з) прийомним сім’ям;</w:t>
            </w:r>
          </w:p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е) одиноким матерям;</w:t>
            </w:r>
          </w:p>
          <w:p w:rsidR="00101A35" w:rsidRPr="00101A35" w:rsidRDefault="00101A35" w:rsidP="00101A3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є) одиноким пенсіонерам</w:t>
            </w:r>
          </w:p>
          <w:p w:rsidR="00101A35" w:rsidRPr="00101A35" w:rsidRDefault="00101A35" w:rsidP="00101A35">
            <w:pPr>
              <w:spacing w:before="120"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и) </w:t>
            </w:r>
            <w:proofErr w:type="spellStart"/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сім»ї</w:t>
            </w:r>
            <w:proofErr w:type="spellEnd"/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загиблих в АТО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01A35" w:rsidRPr="00101A35" w:rsidRDefault="00101A35" w:rsidP="00101A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01A35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 xml:space="preserve"> </w:t>
      </w:r>
      <w:r w:rsidRPr="00101A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Пільги визначаються з урахуванням норм підпункту 12.3.7 пункту 12.3 статті</w:t>
      </w:r>
      <w:r w:rsidRPr="00101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A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101A35" w:rsidRPr="00101A35" w:rsidRDefault="00101A35" w:rsidP="00101A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01A35" w:rsidRPr="00101A35" w:rsidRDefault="00101A35" w:rsidP="00101A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сільської ради                                                                  </w:t>
      </w:r>
      <w:proofErr w:type="spellStart"/>
      <w:r w:rsidRPr="00101A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Л.В.Крупська</w:t>
      </w:r>
      <w:proofErr w:type="spellEnd"/>
    </w:p>
    <w:p w:rsidR="00101A35" w:rsidRPr="00101A35" w:rsidRDefault="00101A35" w:rsidP="00101A3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35" w:rsidRPr="00101A35" w:rsidRDefault="00101A35" w:rsidP="00101A35">
      <w:pPr>
        <w:spacing w:after="15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A35" w:rsidRPr="00101A35" w:rsidRDefault="00101A35" w:rsidP="001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101A35" w:rsidRPr="00101A35" w:rsidSect="00115B98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101A35" w:rsidRPr="00101A35" w:rsidRDefault="00101A35" w:rsidP="00101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35">
        <w:rPr>
          <w:rFonts w:ascii="Calibri" w:eastAsia="Times New Roman" w:hAnsi="Calibri"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101A35" w:rsidRPr="00101A35" w:rsidRDefault="00101A35" w:rsidP="00101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сільської ради</w:t>
      </w:r>
    </w:p>
    <w:p w:rsidR="00101A35" w:rsidRPr="00101A35" w:rsidRDefault="00101A35" w:rsidP="00101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16 червня 2020р  №1098-42/VII </w:t>
      </w:r>
    </w:p>
    <w:p w:rsidR="00101A35" w:rsidRPr="00101A35" w:rsidRDefault="00101A35" w:rsidP="00101A35">
      <w:pPr>
        <w:widowControl w:val="0"/>
        <w:spacing w:after="0" w:line="269" w:lineRule="exact"/>
        <w:ind w:left="6480"/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uk-UA"/>
        </w:rPr>
      </w:pPr>
      <w:r w:rsidRPr="00101A3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uk-UA"/>
        </w:rPr>
        <w:t>СТАВКИ</w:t>
      </w:r>
      <w:r w:rsidRPr="00101A3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vertAlign w:val="superscript"/>
          <w:lang w:val="uk-UA"/>
        </w:rPr>
        <w:br/>
      </w:r>
      <w:r w:rsidRPr="00101A3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uk-UA"/>
        </w:rPr>
        <w:t>податку на нерухоме майно, відмінне від земельної ділянки</w:t>
      </w:r>
      <w:r w:rsidRPr="00101A3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vertAlign w:val="superscript"/>
          <w:lang w:val="uk-UA"/>
        </w:rPr>
        <w:t>1</w:t>
      </w:r>
    </w:p>
    <w:p w:rsidR="00101A35" w:rsidRPr="00101A35" w:rsidRDefault="00101A35" w:rsidP="00101A3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1A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2021 рік та вводяться в дію з 01 січня 2021 року.</w:t>
      </w:r>
    </w:p>
    <w:p w:rsidR="00101A35" w:rsidRPr="00101A35" w:rsidRDefault="00101A35" w:rsidP="00101A3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1A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8930"/>
      </w:tblGrid>
      <w:tr w:rsidR="00101A35" w:rsidRPr="00101A35" w:rsidTr="005F01F6">
        <w:tc>
          <w:tcPr>
            <w:tcW w:w="1843" w:type="dxa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1701" w:type="dxa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2268" w:type="dxa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</w:tc>
        <w:tc>
          <w:tcPr>
            <w:tcW w:w="8930" w:type="dxa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Найменування адміністративно-територіальної одиниці або 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101A35" w:rsidRPr="00101A35" w:rsidTr="005F01F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1223587500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Троїцька сільська рада</w:t>
            </w:r>
          </w:p>
        </w:tc>
      </w:tr>
    </w:tbl>
    <w:p w:rsidR="00101A35" w:rsidRPr="00101A35" w:rsidRDefault="00101A35" w:rsidP="00101A3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8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"/>
        <w:gridCol w:w="62"/>
        <w:gridCol w:w="4862"/>
        <w:gridCol w:w="11"/>
        <w:gridCol w:w="51"/>
        <w:gridCol w:w="603"/>
        <w:gridCol w:w="634"/>
        <w:gridCol w:w="675"/>
        <w:gridCol w:w="678"/>
        <w:gridCol w:w="592"/>
        <w:gridCol w:w="647"/>
        <w:gridCol w:w="592"/>
        <w:gridCol w:w="37"/>
        <w:gridCol w:w="543"/>
        <w:gridCol w:w="556"/>
        <w:gridCol w:w="179"/>
        <w:gridCol w:w="632"/>
        <w:gridCol w:w="1297"/>
        <w:gridCol w:w="632"/>
        <w:gridCol w:w="1282"/>
      </w:tblGrid>
      <w:tr w:rsidR="00101A35" w:rsidRPr="00101A35" w:rsidTr="005F01F6">
        <w:trPr>
          <w:gridAfter w:val="9"/>
          <w:wAfter w:w="1900" w:type="pct"/>
          <w:trHeight w:val="20"/>
          <w:tblHeader/>
        </w:trPr>
        <w:tc>
          <w:tcPr>
            <w:tcW w:w="1816" w:type="pct"/>
            <w:gridSpan w:val="3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284" w:type="pct"/>
            <w:gridSpan w:val="8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01A3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 кв. метр</w:t>
              </w:r>
            </w:smartTag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101A35" w:rsidRPr="00101A35" w:rsidTr="005F01F6">
        <w:trPr>
          <w:gridAfter w:val="9"/>
          <w:wAfter w:w="1900" w:type="pct"/>
          <w:trHeight w:val="20"/>
          <w:tblHeader/>
        </w:trPr>
        <w:tc>
          <w:tcPr>
            <w:tcW w:w="232" w:type="pct"/>
            <w:gridSpan w:val="2"/>
            <w:vMerge w:val="restart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584" w:type="pct"/>
            <w:vMerge w:val="restart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101A35" w:rsidRPr="00101A35" w:rsidTr="005F01F6">
        <w:trPr>
          <w:gridAfter w:val="9"/>
          <w:wAfter w:w="1900" w:type="pct"/>
          <w:trHeight w:val="20"/>
          <w:tblHeader/>
        </w:trPr>
        <w:tc>
          <w:tcPr>
            <w:tcW w:w="232" w:type="pct"/>
            <w:gridSpan w:val="2"/>
            <w:vMerge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Merge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7" w:type="pct"/>
            <w:gridSpan w:val="3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10" w:type="pct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23" w:type="pct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24" w:type="pct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96" w:type="pct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14" w:type="pct"/>
            <w:vAlign w:val="center"/>
          </w:tcPr>
          <w:p w:rsidR="00101A35" w:rsidRPr="00101A35" w:rsidRDefault="00101A35" w:rsidP="00101A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3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1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1110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одноквартирні масової забудови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3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садибного типу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121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дачні та садові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433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4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з двома та більше квартирами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Будинки з двома квартирами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45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двоквартирні масової забудови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1121.2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5"/>
          <w:wAfter w:w="1328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з трьома та більше квартирами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after="0" w:line="240" w:lineRule="auto"/>
              <w:ind w:left="-307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0,1%</w:t>
            </w: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1122.3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Будинки житлові готельного типу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Гуртожитки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робітників та службовців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3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студентів вищих навчальних закладів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9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Гуртожитки для учнів навчальних закладів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Будинки-інтернати для людей похилого віку та інвалідів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дитини та сирітські будинки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Будинки для біженців, притулки для бездомних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Будинки для колективного проживання інші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Готелі, ресторани та подібні будівлі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готельні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121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Готелі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Мотелі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91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Кемпінги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Пансіонати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1211.5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Ресторани та бари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 </w:t>
            </w:r>
          </w:p>
        </w:tc>
        <w:tc>
          <w:tcPr>
            <w:tcW w:w="1601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Інші будівлі для тимчасового проживання</w:t>
            </w:r>
          </w:p>
        </w:tc>
        <w:tc>
          <w:tcPr>
            <w:tcW w:w="633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Туристичні бази та гірські притулки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Дитячі та сімейні табори відпочинку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Центри та будинки відпочинку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1"/>
          <w:wAfter w:w="423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601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</w:p>
        </w:tc>
        <w:tc>
          <w:tcPr>
            <w:tcW w:w="633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9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4" w:type="pct"/>
            <w:gridSpan w:val="4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1601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633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2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органів державного та місцевого управління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фінансового обслуговування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органів правосуддя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1220.4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закордонних представництв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2"/>
          <w:wAfter w:w="632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647" w:type="pct"/>
            <w:gridSpan w:val="4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2"/>
          <w:wAfter w:w="632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647" w:type="pct"/>
            <w:gridSpan w:val="4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1,0 %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Криті ринки, павільйони та зали для ярмарків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76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6"/>
          <w:wAfter w:w="1508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1230.9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торговельні інші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1230.10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Господарські (присадибні) будівлі – допоміжні будівлі – допоміжні (нежитлові) приміщення, до яких належать сараї, хліви, гаражі, літні кухні, майстерні, вбиральні, погреби, навіси,  котельні, бойлерні, трансформаторні підстанції тощо.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2"/>
          <w:wAfter w:w="632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транспорту та засобів зв’язку</w:t>
            </w:r>
          </w:p>
        </w:tc>
        <w:tc>
          <w:tcPr>
            <w:tcW w:w="647" w:type="pct"/>
            <w:gridSpan w:val="4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2"/>
          <w:wAfter w:w="632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647" w:type="pct"/>
            <w:gridSpan w:val="4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76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1,5 %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міського електротранспорту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1241.4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1241.5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23" w:type="pct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214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2"/>
          <w:wAfter w:w="632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Гаражі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Гаражі наземні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Гаражі підземні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76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Стоянки автомобільні криті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Навіси для велосипедів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промислові та склади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промислові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45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підприємств машинобудування та металообробної промисловості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чорної металургії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хімічної та нафтохімічної промисловості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легкої промисловості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харчової промисловості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1251.6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медичної та мікробіологічної промисловості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1251.7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лісової, деревообробної та целюлозно-паперової промисловості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1251.8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75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1251.9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інших промислових виробництв, включаючи поліграфічне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Резервуари, силоси та склади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121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Резервуари та ємності інші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Силоси для зерна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Склади спеціальні товарні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6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Холодильники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76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Складські майданчики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Склади універсальні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91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Склади та сховища інші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2"/>
          <w:wAfter w:w="632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2"/>
          <w:wAfter w:w="632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публічних виступів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5"/>
          </w:tcPr>
          <w:p w:rsidR="00101A35" w:rsidRPr="00101A35" w:rsidRDefault="00101A35" w:rsidP="00101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Театри, кінотеатри та концертні зали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Цирки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91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Казино, ігорні будинки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Музичні та танцювальні зали, дискотеки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для публічних виступів інші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Музеї та бібліотеки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435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Музеї та художні галереї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91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Бібліотеки, книгосховища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Технічні центри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Планетарії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архівів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3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зоологічних та ботанічних садів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 </w:t>
            </w:r>
          </w:p>
        </w:tc>
        <w:tc>
          <w:tcPr>
            <w:tcW w:w="1587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навчальних та дослідних закладів</w:t>
            </w:r>
          </w:p>
        </w:tc>
        <w:tc>
          <w:tcPr>
            <w:tcW w:w="647" w:type="pct"/>
            <w:gridSpan w:val="4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вищих навчальних закладів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шкіл та інших середніх навчальних закладів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9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професійно-технічних навчальних закладів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дошкільних та позашкільних навчальних закладів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спеціальних навчальних закладів для дітей з особливими потребами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85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76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метеорологічних станцій, обсерваторій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освітніх та науково-дослідних закладів інші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1587" w:type="pct"/>
            <w:gridSpan w:val="2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лікарень та оздоровчих закладів</w:t>
            </w:r>
          </w:p>
        </w:tc>
        <w:tc>
          <w:tcPr>
            <w:tcW w:w="647" w:type="pct"/>
            <w:gridSpan w:val="4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Лікарні багатопрофільні територіального обслуговування, навчальних закладів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Лікарні профільні, диспансери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6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Материнські та дитячі реабілітаційні центри, пологові будинки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Поліклініки, пункти медичного обслуговування та консультації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6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Шпиталі виправних закладів, в’язниць та Збройних Сил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76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Санаторії, профілакторії та центри функціональної реабілітації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Заклади лікувально-профілактичні та оздоровчі інші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Зали спортивні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Басейни криті для плавання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76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Хокейні та льодові стадіони криті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 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Манежі легкоатлетичні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 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Тири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Зали спортивні інші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 інші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сільськогосподарського призначення, лісівництва та рибного господарства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1271.1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тваринництва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1271.2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птахівництва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для зберігання зерна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силосні та сінажні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1271.5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садівництва, виноградарства та виноробства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тепличного господарства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1271.7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рибного господарства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45"/>
        </w:trPr>
        <w:tc>
          <w:tcPr>
            <w:tcW w:w="232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підприємств лісівництва та звірівництва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1604" w:type="pct"/>
            <w:gridSpan w:val="2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 інші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для культової та релігійної діяльності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Церкви, собори, костьоли, мечеті, синагоги тощо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315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Похоронні бюро та ритуальні зали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1272.3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Цвинтарі та крематорії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Пам’ятки історичні та такі, що охороняються державою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Пам’ятки історії та архітектури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1273.2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Археологічні розкопки, руїни та історичні місця, що охороняються державою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1273.3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Меморіали, художньо-декоративні будівлі, статуї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інші, не класифіковані раніше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50" w:type="pct"/>
            <w:gridSpan w:val="5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1274.1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Казарми Збройних Сил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Будівлі поліцейських та пожежних служб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виправних закладів, в’язниць та слідчих ізоляторів</w:t>
            </w: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Зв.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Зв.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Будівлі лазень та пралень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01A35" w:rsidRPr="00101A35" w:rsidTr="005F01F6">
        <w:trPr>
          <w:gridAfter w:val="9"/>
          <w:wAfter w:w="1900" w:type="pct"/>
          <w:trHeight w:val="20"/>
        </w:trPr>
        <w:tc>
          <w:tcPr>
            <w:tcW w:w="212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20" w:type="pct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pct"/>
            <w:vAlign w:val="center"/>
          </w:tcPr>
          <w:p w:rsidR="00101A35" w:rsidRPr="00101A35" w:rsidRDefault="00101A35" w:rsidP="00101A35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Будівлі з облаштування населених пунктів </w:t>
            </w:r>
          </w:p>
        </w:tc>
        <w:tc>
          <w:tcPr>
            <w:tcW w:w="217" w:type="pct"/>
            <w:gridSpan w:val="3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0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6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101A35" w:rsidRPr="00101A35" w:rsidRDefault="00101A35" w:rsidP="00101A35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01A35" w:rsidRPr="00101A35" w:rsidRDefault="00101A35" w:rsidP="00101A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01A35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1</w:t>
      </w:r>
      <w:r w:rsidRPr="00101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01A35" w:rsidRPr="00101A35" w:rsidRDefault="00101A35" w:rsidP="00101A3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01A35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2</w:t>
      </w:r>
      <w:r w:rsidRPr="00101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01A35" w:rsidRPr="00101A35" w:rsidRDefault="00101A35" w:rsidP="00101A3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01A35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3</w:t>
      </w:r>
      <w:r w:rsidRPr="00101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01A35" w:rsidRPr="00101A35" w:rsidRDefault="00101A35" w:rsidP="00101A3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01A35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4</w:t>
      </w:r>
      <w:r w:rsidRPr="00101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101A35" w:rsidRPr="00101A35" w:rsidRDefault="00101A35" w:rsidP="00101A3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1A35">
        <w:rPr>
          <w:rFonts w:ascii="Times New Roman" w:eastAsia="Times New Roman" w:hAnsi="Times New Roman" w:cs="Times New Roman"/>
          <w:noProof/>
          <w:sz w:val="20"/>
          <w:szCs w:val="24"/>
          <w:vertAlign w:val="superscript"/>
          <w:lang w:eastAsia="ru-RU"/>
        </w:rPr>
        <w:t>5</w:t>
      </w:r>
      <w:r w:rsidRPr="00101A3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101A35">
        <w:rPr>
          <w:rFonts w:ascii="Times New Roman" w:eastAsia="Times New Roman" w:hAnsi="Times New Roman" w:cs="Times New Roman"/>
          <w:noProof/>
          <w:sz w:val="20"/>
          <w:szCs w:val="24"/>
          <w:vertAlign w:val="superscript"/>
          <w:lang w:eastAsia="ru-RU"/>
        </w:rPr>
        <w:t xml:space="preserve"> </w:t>
      </w:r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</w:p>
    <w:p w:rsidR="00101A35" w:rsidRPr="00101A35" w:rsidRDefault="00101A35" w:rsidP="00101A3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ради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</w:t>
      </w:r>
      <w:bookmarkStart w:id="0" w:name="_GoBack"/>
      <w:bookmarkEnd w:id="0"/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Л.В.Крупська</w:t>
      </w:r>
      <w:proofErr w:type="spellEnd"/>
    </w:p>
    <w:p w:rsidR="00101A35" w:rsidRPr="00101A35" w:rsidRDefault="00101A35" w:rsidP="00101A3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1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200AE3" w:rsidRDefault="00200AE3"/>
    <w:sectPr w:rsidR="0020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BB8"/>
    <w:multiLevelType w:val="hybridMultilevel"/>
    <w:tmpl w:val="066246E0"/>
    <w:lvl w:ilvl="0" w:tplc="7A8E1F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307620C"/>
    <w:multiLevelType w:val="hybridMultilevel"/>
    <w:tmpl w:val="98BC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B266D"/>
    <w:multiLevelType w:val="hybridMultilevel"/>
    <w:tmpl w:val="BEDEEAC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101A35"/>
    <w:rsid w:val="00200AE3"/>
    <w:rsid w:val="003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AB35E"/>
  <w15:chartTrackingRefBased/>
  <w15:docId w15:val="{8077BE52-BEE4-4B63-9E85-FB77A31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01A35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A35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101A35"/>
  </w:style>
  <w:style w:type="paragraph" w:styleId="a3">
    <w:name w:val="Normal (Web)"/>
    <w:basedOn w:val="a"/>
    <w:rsid w:val="001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101A35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101A35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character" w:customStyle="1" w:styleId="s1">
    <w:name w:val="s1"/>
    <w:rsid w:val="00101A35"/>
  </w:style>
  <w:style w:type="paragraph" w:customStyle="1" w:styleId="10">
    <w:name w:val="Без интервала1"/>
    <w:rsid w:val="00101A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101A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ий текст"/>
    <w:basedOn w:val="a"/>
    <w:rsid w:val="00101A3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101A3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No Spacing"/>
    <w:qFormat/>
    <w:rsid w:val="00101A3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5">
    <w:name w:val="Основной текст (5)_"/>
    <w:link w:val="50"/>
    <w:locked/>
    <w:rsid w:val="00101A3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1A35"/>
    <w:pPr>
      <w:widowControl w:val="0"/>
      <w:shd w:val="clear" w:color="auto" w:fill="FFFFFF"/>
      <w:spacing w:after="0" w:line="269" w:lineRule="exact"/>
    </w:pPr>
    <w:rPr>
      <w:b/>
      <w:bCs/>
      <w:shd w:val="clear" w:color="auto" w:fill="FFFFFF"/>
    </w:rPr>
  </w:style>
  <w:style w:type="character" w:customStyle="1" w:styleId="6">
    <w:name w:val="Основной текст (6)_"/>
    <w:link w:val="60"/>
    <w:locked/>
    <w:rsid w:val="00101A35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A35"/>
    <w:pPr>
      <w:widowControl w:val="0"/>
      <w:shd w:val="clear" w:color="auto" w:fill="FFFFFF"/>
      <w:spacing w:after="720" w:line="269" w:lineRule="exact"/>
    </w:pPr>
    <w:rPr>
      <w:shd w:val="clear" w:color="auto" w:fill="FFFFFF"/>
    </w:rPr>
  </w:style>
  <w:style w:type="paragraph" w:customStyle="1" w:styleId="33">
    <w:name w:val="Основной текст3"/>
    <w:basedOn w:val="a"/>
    <w:rsid w:val="00101A3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color w:val="000000"/>
      <w:sz w:val="23"/>
      <w:szCs w:val="23"/>
      <w:lang w:val="uk-UA" w:eastAsia="ru-RU"/>
    </w:rPr>
  </w:style>
  <w:style w:type="paragraph" w:customStyle="1" w:styleId="ShapkaDocumentu">
    <w:name w:val="Shapka Documentu"/>
    <w:basedOn w:val="a"/>
    <w:rsid w:val="00101A3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semiHidden/>
    <w:unhideWhenUsed/>
    <w:rsid w:val="00101A35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Текст выноски Знак"/>
    <w:basedOn w:val="a0"/>
    <w:link w:val="a7"/>
    <w:semiHidden/>
    <w:rsid w:val="00101A3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s3">
    <w:name w:val="s3"/>
    <w:rsid w:val="00101A35"/>
  </w:style>
  <w:style w:type="character" w:customStyle="1" w:styleId="Heading3Char">
    <w:name w:val="Heading 3 Char"/>
    <w:locked/>
    <w:rsid w:val="00101A35"/>
    <w:rPr>
      <w:rFonts w:ascii="Antiqua" w:eastAsia="Calibri" w:hAnsi="Antiqua"/>
      <w:b/>
      <w:i/>
      <w:sz w:val="26"/>
      <w:lang w:val="ru-RU" w:eastAsia="ru-RU" w:bidi="ar-SA"/>
    </w:rPr>
  </w:style>
  <w:style w:type="paragraph" w:styleId="a9">
    <w:name w:val="header"/>
    <w:basedOn w:val="a"/>
    <w:link w:val="aa"/>
    <w:rsid w:val="00101A35"/>
    <w:pPr>
      <w:tabs>
        <w:tab w:val="center" w:pos="4677"/>
        <w:tab w:val="right" w:pos="9355"/>
      </w:tabs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a">
    <w:name w:val="Верхний колонтитул Знак"/>
    <w:basedOn w:val="a0"/>
    <w:link w:val="a9"/>
    <w:rsid w:val="00101A35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rsid w:val="00101A35"/>
    <w:pPr>
      <w:tabs>
        <w:tab w:val="center" w:pos="4677"/>
        <w:tab w:val="right" w:pos="9355"/>
      </w:tabs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rsid w:val="00101A35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2960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2020-06-25T08:30:00Z</dcterms:created>
  <dcterms:modified xsi:type="dcterms:W3CDTF">2020-06-25T08:33:00Z</dcterms:modified>
</cp:coreProperties>
</file>