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FA" w:rsidRPr="00FA30DE" w:rsidRDefault="005B55FA" w:rsidP="005B55FA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   Додаток </w:t>
      </w:r>
      <w:r w:rsidR="00F33E2B"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2</w:t>
      </w: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  </w:t>
      </w:r>
    </w:p>
    <w:p w:rsidR="00FA30DE" w:rsidRPr="00FA30DE" w:rsidRDefault="005B55FA" w:rsidP="005B55FA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до рішення сільської ради</w:t>
      </w:r>
    </w:p>
    <w:p w:rsidR="005B55FA" w:rsidRPr="00FA30DE" w:rsidRDefault="00FA30DE" w:rsidP="005B55FA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№2471-67/</w:t>
      </w: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val="en-US" w:eastAsia="ru-RU"/>
        </w:rPr>
        <w:t xml:space="preserve">VII </w:t>
      </w: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від 24 липня2025 року</w:t>
      </w:r>
      <w:r w:rsidR="005B55FA"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 </w:t>
      </w:r>
    </w:p>
    <w:p w:rsidR="005B55FA" w:rsidRPr="00FA30DE" w:rsidRDefault="005B55FA" w:rsidP="005B55FA">
      <w:pPr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B55FA" w:rsidRPr="00AF43E7" w:rsidRDefault="005B55FA" w:rsidP="005B55FA">
      <w:pPr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F43E7">
        <w:rPr>
          <w:rFonts w:ascii="Times New Roman" w:hAnsi="Times New Roman"/>
          <w:b/>
          <w:noProof/>
          <w:sz w:val="28"/>
          <w:szCs w:val="28"/>
        </w:rPr>
        <w:t>ПРОГРАМА підтримки та розвитку  молоді та молодіжної політики Троїцької сільської ради на 202</w:t>
      </w:r>
      <w:r>
        <w:rPr>
          <w:rFonts w:ascii="Times New Roman" w:hAnsi="Times New Roman"/>
          <w:b/>
          <w:noProof/>
          <w:sz w:val="28"/>
          <w:szCs w:val="28"/>
        </w:rPr>
        <w:t>6</w:t>
      </w:r>
      <w:r w:rsidRPr="00AF43E7">
        <w:rPr>
          <w:rFonts w:ascii="Times New Roman" w:hAnsi="Times New Roman"/>
          <w:b/>
          <w:noProof/>
          <w:sz w:val="28"/>
          <w:szCs w:val="28"/>
        </w:rPr>
        <w:t xml:space="preserve"> - 202</w:t>
      </w:r>
      <w:r>
        <w:rPr>
          <w:rFonts w:ascii="Times New Roman" w:hAnsi="Times New Roman"/>
          <w:b/>
          <w:noProof/>
          <w:sz w:val="28"/>
          <w:szCs w:val="28"/>
        </w:rPr>
        <w:t>8</w:t>
      </w:r>
      <w:r w:rsidRPr="00AF43E7">
        <w:rPr>
          <w:rFonts w:ascii="Times New Roman" w:hAnsi="Times New Roman"/>
          <w:b/>
          <w:noProof/>
          <w:sz w:val="28"/>
          <w:szCs w:val="28"/>
        </w:rPr>
        <w:t xml:space="preserve"> роки</w:t>
      </w:r>
    </w:p>
    <w:p w:rsidR="005B55FA" w:rsidRPr="00AF43E7" w:rsidRDefault="005B55FA" w:rsidP="005B55FA">
      <w:pPr>
        <w:ind w:firstLine="56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F43E7">
        <w:rPr>
          <w:rFonts w:ascii="Times New Roman" w:hAnsi="Times New Roman"/>
          <w:b/>
          <w:noProof/>
          <w:sz w:val="28"/>
          <w:szCs w:val="28"/>
        </w:rPr>
        <w:t xml:space="preserve"> ПАСПОРТ ПРОГРАМИ</w:t>
      </w:r>
    </w:p>
    <w:p w:rsidR="005B55FA" w:rsidRDefault="005B55FA" w:rsidP="005B55FA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"/>
        <w:gridCol w:w="2971"/>
        <w:gridCol w:w="1845"/>
        <w:gridCol w:w="2010"/>
        <w:gridCol w:w="2355"/>
      </w:tblGrid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Назва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Програма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підтримки та розвитку молоді та молодіжної політики Троїцької сільської ради</w:t>
            </w: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2026-2028 роки</w:t>
            </w:r>
          </w:p>
        </w:tc>
      </w:tr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Відділ освіти, культури, молоді та спорту виконавчого комітету Троїцької сільської ради.</w:t>
            </w:r>
          </w:p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Підстава для розробки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Закони України "Про місцеве самоврядування в Україні",</w:t>
            </w:r>
            <w:r w:rsidRPr="00AF43E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Законами України  «Про основні засади молодіжної політики» </w:t>
            </w:r>
          </w:p>
        </w:tc>
      </w:tr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Головний розробник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Відділ освіти, культури, молоді та спорту виконавчого комітету Троїцької сільської ради.</w:t>
            </w:r>
          </w:p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Виконавчий комітет Троїцької сільської ради</w:t>
            </w:r>
          </w:p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2026-2028 роки</w:t>
            </w:r>
          </w:p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створення можливостей для самореалізації та розвитку потенціалу молоді в Троїцькій сільській раді через підвищення спроможності інститутів громадянського суспільства у молодіжній сфері, які діють на принципах демократичного врядування, застосування наявних та нових інструментів для активної участі та інтеграції молоді у суспільне життя і подальший розвиток українського суспільства.</w:t>
            </w: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00" w:type="dxa"/>
            <w:gridSpan w:val="2"/>
            <w:vMerge w:val="restart"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1" w:type="dxa"/>
            <w:vMerge w:val="restart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Загальний обсяг фінансових ресурсів, необхідних для реалізації Програми, всього, в тому числі </w:t>
            </w:r>
          </w:p>
        </w:tc>
        <w:tc>
          <w:tcPr>
            <w:tcW w:w="1845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010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2027р.</w:t>
            </w:r>
          </w:p>
        </w:tc>
        <w:tc>
          <w:tcPr>
            <w:tcW w:w="2355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2028 р.</w:t>
            </w: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600" w:type="dxa"/>
            <w:gridSpan w:val="2"/>
            <w:vMerge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  <w:vMerge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Фінансування буде надане після уточнення бюджету у ІІ півріччі</w:t>
            </w:r>
          </w:p>
        </w:tc>
        <w:tc>
          <w:tcPr>
            <w:tcW w:w="2010" w:type="dxa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кошти місцевого бюджету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600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971" w:type="dxa"/>
          </w:tcPr>
          <w:p w:rsidR="00EF035F" w:rsidRPr="00EF035F" w:rsidRDefault="00EF035F" w:rsidP="00EF0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інші джерела фінансування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F035F" w:rsidRPr="00EF035F" w:rsidTr="00DB7B90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8" w:type="dxa"/>
          </w:tcPr>
          <w:p w:rsidR="00EF035F" w:rsidRPr="00EF035F" w:rsidRDefault="00EF035F" w:rsidP="00EF035F">
            <w:pPr>
              <w:spacing w:after="0" w:line="240" w:lineRule="auto"/>
              <w:ind w:left="108" w:hanging="108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03" w:type="dxa"/>
            <w:gridSpan w:val="2"/>
          </w:tcPr>
          <w:p w:rsidR="00EF035F" w:rsidRPr="00EF035F" w:rsidRDefault="00EF035F" w:rsidP="00EF035F">
            <w:pPr>
              <w:spacing w:after="0" w:line="240" w:lineRule="auto"/>
              <w:ind w:hanging="16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F0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Ключові показники ефективності Програми</w:t>
            </w:r>
          </w:p>
        </w:tc>
        <w:tc>
          <w:tcPr>
            <w:tcW w:w="6210" w:type="dxa"/>
            <w:gridSpan w:val="3"/>
          </w:tcPr>
          <w:p w:rsidR="00EF035F" w:rsidRPr="00EF035F" w:rsidRDefault="00EF035F" w:rsidP="00EF035F">
            <w:pPr>
              <w:spacing w:after="0" w:line="240" w:lineRule="auto"/>
              <w:ind w:left="1080"/>
              <w:contextualSpacing/>
              <w:rPr>
                <w:rFonts w:ascii="ProbaPro" w:eastAsia="Times New Roman" w:hAnsi="ProbaPro"/>
                <w:noProof/>
                <w:color w:val="000000"/>
                <w:sz w:val="19"/>
                <w:szCs w:val="19"/>
                <w:shd w:val="clear" w:color="auto" w:fill="FFFFFF"/>
                <w:lang w:eastAsia="ru-RU"/>
              </w:rPr>
            </w:pPr>
          </w:p>
        </w:tc>
      </w:tr>
    </w:tbl>
    <w:p w:rsidR="00EF035F" w:rsidRDefault="00EF035F" w:rsidP="005B55FA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F33E2B" w:rsidRDefault="00F33E2B" w:rsidP="00F33E2B">
      <w:pPr>
        <w:shd w:val="clear" w:color="auto" w:fill="FFFFFF"/>
        <w:spacing w:before="240" w:after="240"/>
        <w:ind w:left="1626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4C5303" w:rsidRPr="00FA30DE" w:rsidRDefault="00F33E2B" w:rsidP="004C5303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AF43E7">
        <w:rPr>
          <w:rFonts w:ascii="Times New Roman" w:eastAsia="Times New Roman" w:hAnsi="Times New Roman" w:cs="Segoe UI"/>
          <w:noProof/>
          <w:sz w:val="28"/>
          <w:szCs w:val="20"/>
          <w:lang w:eastAsia="ru-RU"/>
        </w:rPr>
        <w:lastRenderedPageBreak/>
        <w:t xml:space="preserve">   </w:t>
      </w:r>
      <w:r w:rsidR="004C5303"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Додаток </w:t>
      </w:r>
      <w:r w:rsidR="004C5303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1</w:t>
      </w:r>
      <w:bookmarkStart w:id="0" w:name="_GoBack"/>
      <w:bookmarkEnd w:id="0"/>
      <w:r w:rsidR="004C5303"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 </w:t>
      </w:r>
    </w:p>
    <w:p w:rsidR="004C5303" w:rsidRPr="00FA30DE" w:rsidRDefault="004C5303" w:rsidP="004C5303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до рішення сільської ради</w:t>
      </w:r>
    </w:p>
    <w:p w:rsidR="004C5303" w:rsidRPr="00FA30DE" w:rsidRDefault="004C5303" w:rsidP="004C5303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</w:pP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>№2471-67/</w:t>
      </w: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val="en-US" w:eastAsia="ru-RU"/>
        </w:rPr>
        <w:t xml:space="preserve">VII </w:t>
      </w:r>
      <w:r w:rsidRPr="00FA30DE">
        <w:rPr>
          <w:rFonts w:ascii="Times New Roman" w:eastAsia="Times New Roman" w:hAnsi="Times New Roman" w:cs="Segoe UI"/>
          <w:b/>
          <w:noProof/>
          <w:sz w:val="28"/>
          <w:szCs w:val="20"/>
          <w:lang w:eastAsia="ru-RU"/>
        </w:rPr>
        <w:t xml:space="preserve">від 24 липня2025 року </w:t>
      </w:r>
    </w:p>
    <w:p w:rsidR="00F33E2B" w:rsidRDefault="00F33E2B" w:rsidP="004C5303">
      <w:pPr>
        <w:snapToGrid w:val="0"/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0834A8" w:rsidRPr="00F33E2B" w:rsidRDefault="00F33E2B" w:rsidP="00F33E2B">
      <w:pPr>
        <w:shd w:val="clear" w:color="auto" w:fill="FFFFFF"/>
        <w:spacing w:before="240" w:after="240"/>
        <w:ind w:left="1626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1.</w:t>
      </w:r>
      <w:r w:rsidR="005B55FA" w:rsidRPr="00F33E2B">
        <w:rPr>
          <w:rFonts w:ascii="Times New Roman" w:eastAsia="Times New Roman" w:hAnsi="Times New Roman"/>
          <w:b/>
          <w:noProof/>
          <w:sz w:val="28"/>
          <w:szCs w:val="28"/>
        </w:rPr>
        <w:t>Визначення проблеми на розв'язання якої спрямована програма:</w:t>
      </w:r>
    </w:p>
    <w:p w:rsidR="000834A8" w:rsidRPr="00AF43E7" w:rsidRDefault="000834A8" w:rsidP="000834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Програма підтримки та розвитку  молоді та молодіжної політики </w:t>
      </w:r>
      <w:r w:rsidRPr="00AF43E7">
        <w:rPr>
          <w:rFonts w:ascii="Times New Roman" w:hAnsi="Times New Roman"/>
          <w:noProof/>
          <w:sz w:val="28"/>
          <w:szCs w:val="28"/>
        </w:rPr>
        <w:t xml:space="preserve">Троїцької сільської 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ради на 202</w:t>
      </w:r>
      <w:r>
        <w:rPr>
          <w:rFonts w:ascii="Times New Roman" w:eastAsia="Times New Roman" w:hAnsi="Times New Roman"/>
          <w:noProof/>
          <w:sz w:val="28"/>
          <w:szCs w:val="28"/>
        </w:rPr>
        <w:t>6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</w:rPr>
        <w:t>–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8 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роки (далі – програма) базується на необхідності забезпечувати формування та реалізацію державної політики у молодіжній сфері, що створює безпечний та інклюзивний перехід від дитинства до дорослості, розвивати національну свідомість молодих людей на основі суспільно-державних цінностей та відповідального громадянства, надавати молодим людям можливості для успішної соціалізації, реалізації їхнього потенціалу та підвищення рівня їх громадянських компетентностей, спроможності бути самостійними, життєстійкими, активними, патріотичними і відповідальними учасниками суспільного життя.</w:t>
      </w:r>
    </w:p>
    <w:p w:rsidR="000834A8" w:rsidRPr="00002DC4" w:rsidRDefault="000834A8" w:rsidP="000834A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Програма ґрунтується на аналізі стану і проблем розвитку молоді в </w:t>
      </w:r>
      <w:r w:rsidRPr="00AF43E7">
        <w:rPr>
          <w:rFonts w:ascii="Times New Roman" w:hAnsi="Times New Roman"/>
          <w:noProof/>
          <w:sz w:val="28"/>
          <w:szCs w:val="28"/>
        </w:rPr>
        <w:t xml:space="preserve">Троїцькій сільській 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раді, також враховує програмні вимоги і перспективи, визначені переглянутою Європейською хартією про участь молоді в громадському житті на місцевому та регіональному рівнях, ухвалені Конгресом місцевих та регіональних влад Європи 21.05.2003 року, Законами України </w:t>
      </w:r>
      <w:r w:rsidRPr="00AF43E7">
        <w:rPr>
          <w:rFonts w:ascii="Times New Roman" w:hAnsi="Times New Roman"/>
          <w:noProof/>
          <w:sz w:val="28"/>
          <w:szCs w:val="28"/>
        </w:rPr>
        <w:t xml:space="preserve"> «</w:t>
      </w:r>
      <w:r w:rsidRPr="00AF43E7">
        <w:rPr>
          <w:rFonts w:ascii="Times New Roman" w:hAnsi="Times New Roman"/>
          <w:bCs/>
          <w:noProof/>
          <w:sz w:val="28"/>
          <w:szCs w:val="28"/>
        </w:rPr>
        <w:t>Про основні засади молодіжної політики</w:t>
      </w:r>
      <w:r w:rsidRPr="00AF43E7">
        <w:rPr>
          <w:rFonts w:ascii="Times New Roman" w:hAnsi="Times New Roman"/>
          <w:noProof/>
          <w:sz w:val="28"/>
          <w:szCs w:val="28"/>
        </w:rPr>
        <w:t>»</w:t>
      </w:r>
      <w:r w:rsidRPr="00AF43E7">
        <w:rPr>
          <w:b/>
          <w:bCs/>
          <w:noProof/>
          <w:shd w:val="clear" w:color="auto" w:fill="FFFFFF"/>
        </w:rPr>
        <w:t xml:space="preserve"> </w:t>
      </w:r>
      <w:r w:rsidRPr="00AF43E7">
        <w:rPr>
          <w:rFonts w:ascii="Times New Roman" w:hAnsi="Times New Roman"/>
          <w:bCs/>
          <w:noProof/>
          <w:sz w:val="28"/>
          <w:szCs w:val="28"/>
          <w:shd w:val="clear" w:color="auto" w:fill="FFFFFF"/>
        </w:rPr>
        <w:t xml:space="preserve">від </w:t>
      </w:r>
      <w:r w:rsidRPr="00AF43E7">
        <w:rPr>
          <w:rStyle w:val="rvts44"/>
          <w:rFonts w:ascii="Times New Roman" w:hAnsi="Times New Roman"/>
          <w:bCs/>
          <w:noProof/>
          <w:sz w:val="28"/>
          <w:szCs w:val="28"/>
          <w:shd w:val="clear" w:color="auto" w:fill="FFFFFF"/>
        </w:rPr>
        <w:t>27.04.2021 року</w:t>
      </w:r>
      <w:r w:rsidRPr="00AF43E7">
        <w:rPr>
          <w:rFonts w:ascii="Times New Roman" w:hAnsi="Times New Roman"/>
          <w:noProof/>
          <w:sz w:val="28"/>
          <w:szCs w:val="28"/>
        </w:rPr>
        <w:br/>
      </w:r>
      <w:r w:rsidRPr="00AF43E7">
        <w:rPr>
          <w:rStyle w:val="rvts44"/>
          <w:rFonts w:ascii="Times New Roman" w:hAnsi="Times New Roman"/>
          <w:bCs/>
          <w:noProof/>
          <w:sz w:val="28"/>
          <w:szCs w:val="28"/>
          <w:shd w:val="clear" w:color="auto" w:fill="FFFFFF"/>
        </w:rPr>
        <w:t>№ 1414-IX</w:t>
      </w:r>
      <w:r w:rsidRPr="00AF43E7">
        <w:rPr>
          <w:rFonts w:ascii="Times New Roman" w:hAnsi="Times New Roman"/>
          <w:noProof/>
          <w:sz w:val="28"/>
          <w:szCs w:val="28"/>
        </w:rPr>
        <w:t xml:space="preserve">, 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 Цілями сталого розвитку України на період до 2030 року, схваленою Указом Президента України від 30.09.2019 </w:t>
      </w:r>
      <w:r w:rsidRPr="00002DC4">
        <w:rPr>
          <w:rFonts w:ascii="Times New Roman" w:eastAsia="Times New Roman" w:hAnsi="Times New Roman"/>
          <w:noProof/>
          <w:sz w:val="28"/>
          <w:szCs w:val="28"/>
        </w:rPr>
        <w:t>року № 772, постанови Кабінету Міністрів України № 1198 від 18.12..2018 року «</w:t>
      </w:r>
      <w:r w:rsidRPr="00002DC4">
        <w:rPr>
          <w:rFonts w:ascii="Times New Roman" w:hAnsi="Times New Roman"/>
          <w:bCs/>
          <w:noProof/>
          <w:sz w:val="28"/>
          <w:szCs w:val="28"/>
          <w:shd w:val="clear" w:color="auto" w:fill="FFFFFF"/>
        </w:rPr>
        <w:t xml:space="preserve">Про затвердження типових положень про молодіжні консультативно-дорадчі органи», </w:t>
      </w:r>
      <w:r w:rsidRPr="00002DC4">
        <w:rPr>
          <w:rFonts w:ascii="Times New Roman" w:eastAsia="Times New Roman" w:hAnsi="Times New Roman"/>
          <w:noProof/>
          <w:sz w:val="28"/>
          <w:szCs w:val="28"/>
        </w:rPr>
        <w:t>іншими законодавчими та нормативними актами щодо створення сприятливих умов розвитку молоді.</w:t>
      </w:r>
    </w:p>
    <w:p w:rsidR="005B55FA" w:rsidRPr="00AF43E7" w:rsidRDefault="000834A8" w:rsidP="005B55F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-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низький рівень участі молоді у суспільному житті, в діяльності інститутів громадянського суспільства, у тому числі молодіжних та дитячих громадських організацій, волонтерських ініціативах та у процесах ухвалення рішень, що стосуються вирішення питань молоді;</w:t>
      </w:r>
    </w:p>
    <w:p w:rsidR="005B55FA" w:rsidRPr="00AF43E7" w:rsidRDefault="005B55FA" w:rsidP="005B55F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низький рівень поінформованості молоді про свої права, обов’язки та можливості для розвитку власного потенціалу та самореалізації у своїй громаді, області, в Україні загалом;</w:t>
      </w:r>
    </w:p>
    <w:p w:rsidR="005B55FA" w:rsidRPr="00AF43E7" w:rsidRDefault="005B55FA" w:rsidP="005B55F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низький рівень громадянських компетентностей, у тому числі щодо громадянського обов'язку захисту України, толерантного ставлення та взаємоповаги один до одного;</w:t>
      </w:r>
    </w:p>
    <w:p w:rsidR="005B55FA" w:rsidRPr="00AF43E7" w:rsidRDefault="005B55FA" w:rsidP="005B55F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низький рівень підготовки молоді до сімейного життя та відповідального ставлення молоді до планування сім’ї;</w:t>
      </w:r>
    </w:p>
    <w:p w:rsidR="005B55FA" w:rsidRPr="00AF43E7" w:rsidRDefault="005B55FA" w:rsidP="005B55F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низький рівень компетентностей, необхідних молоді для свідомого вибору професії та кар’єрного розвитку, здійснення підприємницької діяльності, лідерських якостей;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lastRenderedPageBreak/>
        <w:t>- низька відповідальність до власного здоров’я, що особливо важливо в умовах появи нов</w:t>
      </w:r>
      <w:r>
        <w:rPr>
          <w:rFonts w:ascii="Times New Roman" w:eastAsia="Times New Roman" w:hAnsi="Times New Roman"/>
          <w:noProof/>
          <w:sz w:val="28"/>
          <w:szCs w:val="28"/>
        </w:rPr>
        <w:t>их загроз для життя та здоров’я;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низький рівень соціалізації, реінтеграції та адаптації у суспільстві молоді, яка проживає у складних життєвих обставинах, а також внутрішньо переміщеної молоді (ВПО).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Розв’язання даних проблем можливе при поєднанні «старого» досвіду та оновлених концептуально сучасних підходів, використання широкого кола інноваційних механізмів, які запроваджуються у молодіжній сфері.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прийняття міською радою  програми.</w:t>
      </w:r>
    </w:p>
    <w:p w:rsidR="005B55FA" w:rsidRPr="00EF035F" w:rsidRDefault="005B55FA" w:rsidP="00EF035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Визначення мети</w:t>
      </w:r>
      <w:r w:rsidRPr="00AF43E7">
        <w:rPr>
          <w:rFonts w:ascii="Times New Roman" w:eastAsia="Times New Roman" w:hAnsi="Times New Roman"/>
          <w:b/>
          <w:noProof/>
          <w:sz w:val="28"/>
          <w:szCs w:val="28"/>
        </w:rPr>
        <w:t xml:space="preserve"> програми</w:t>
      </w:r>
    </w:p>
    <w:p w:rsidR="005B55FA" w:rsidRPr="00AF43E7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Метою програми є створення можливостей для самореалізації та розвитку потенціалу молоді в Троїцькій сільській раді через підвищення спроможності інститутів громадянського суспільства у молодіжній сфері, які діють на принципах демократичного врядування, застосування наявних та нових інструментів для активної участі та інтеграції молоді у суспільне життя і подальший розвиток українського суспільства.</w:t>
      </w:r>
    </w:p>
    <w:p w:rsidR="005B55FA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Досягнення мети вбачається у комплексному та системному підходах всіх суб’єктів молодіжної політики для активізації вертикальної і горизонтальної співпраці та обмін досвідом між органом місцевого самоврядування та молоддю.</w:t>
      </w:r>
    </w:p>
    <w:p w:rsidR="005B55FA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Програма спрямована на виконання таких цілей та завдань передбачених у Стратегії розвитку Троїцької сільської територіальної громади до 2030 р.:</w:t>
      </w:r>
    </w:p>
    <w:p w:rsidR="005B55FA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F19E4">
        <w:rPr>
          <w:rFonts w:ascii="Times New Roman" w:eastAsia="Times New Roman" w:hAnsi="Times New Roman"/>
          <w:b/>
          <w:noProof/>
          <w:sz w:val="28"/>
          <w:szCs w:val="28"/>
        </w:rPr>
        <w:t>Стратегічна ціль 1.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 Забезпечення якості життя в селах громади на засадах соціальної активності та згуртованості спільноти.</w:t>
      </w:r>
    </w:p>
    <w:p w:rsidR="005B55FA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F19E4">
        <w:rPr>
          <w:rFonts w:ascii="Times New Roman" w:eastAsia="Times New Roman" w:hAnsi="Times New Roman"/>
          <w:b/>
          <w:noProof/>
          <w:sz w:val="28"/>
          <w:szCs w:val="28"/>
        </w:rPr>
        <w:t>Операційні цілі та завдання: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1.2.1. </w:t>
      </w:r>
      <w:r w:rsidRPr="000A1C30">
        <w:rPr>
          <w:rFonts w:ascii="Times New Roman" w:eastAsia="Times New Roman" w:hAnsi="Times New Roman"/>
          <w:noProof/>
          <w:sz w:val="28"/>
          <w:szCs w:val="28"/>
        </w:rPr>
        <w:t>Створити сприятливі умови для розвитку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 громадських компетентностей, насамперед, молоді, за допомогою різних громадських ініціатив.</w:t>
      </w:r>
    </w:p>
    <w:p w:rsidR="005B55FA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 xml:space="preserve"> -облаштування багатофункціональних відпочинкових зонта громадських просторів з різноманітними елементами благоустрою та дозвілля.</w:t>
      </w:r>
    </w:p>
    <w:p w:rsidR="005B55FA" w:rsidRPr="00AF43E7" w:rsidRDefault="00F33E2B" w:rsidP="00EF035F">
      <w:pPr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3.</w:t>
      </w:r>
      <w:r w:rsidR="005B55FA" w:rsidRPr="00EB239C">
        <w:rPr>
          <w:rFonts w:ascii="Times New Roman" w:eastAsia="Times New Roman" w:hAnsi="Times New Roman"/>
          <w:b/>
          <w:noProof/>
          <w:sz w:val="28"/>
          <w:szCs w:val="28"/>
        </w:rPr>
        <w:t xml:space="preserve">. </w:t>
      </w:r>
      <w:r w:rsidR="005B55FA">
        <w:rPr>
          <w:rFonts w:ascii="Times New Roman" w:eastAsia="Times New Roman" w:hAnsi="Times New Roman"/>
          <w:b/>
          <w:noProof/>
          <w:sz w:val="28"/>
          <w:szCs w:val="28"/>
        </w:rPr>
        <w:t>Обгрунтування шляхів і засобів розвязання проблеми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.1. Формування національної свідомості та патріотизму молоді: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утвердження українських народних традицій, усвідомлення національної своєрідності;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залучення молоді до суспільно значущої діяльності;</w:t>
      </w:r>
    </w:p>
    <w:p w:rsidR="005B55FA" w:rsidRPr="00AF43E7" w:rsidRDefault="005B55FA" w:rsidP="005B55F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формування серед молоді розширеного поняття української ідентичності, яке базується не тільки на походженні та ідентичності, а також на цінностях та виборі.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.2. Посилення участі молоді у суспільному житті, що включає: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впровадження громадянської освіти, освіти з прав людини та підвищення рівня громадянських компетентностей, формування її готовності та вміння діяти самостійно, знати та відстоювати свої права, нести відповідальність за свої дії та власне життя;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посилення відповідального ставлення до планування сім’ї, підготовки до сімейного життя, розвитку відповідального батьківства;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lastRenderedPageBreak/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реалізацію просвітницької діяльності у сфері протидії і запобіганню різних форм насильства;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розвиток скаутського, волонтерського, молодіжного та дитячого громадських рухів;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посилення відповідального ставлення до навколишнього природного середовища та культури відповідального споживання.</w:t>
      </w:r>
    </w:p>
    <w:p w:rsidR="005B55FA" w:rsidRPr="00AF43E7" w:rsidRDefault="00F33E2B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.3 Підвищення спроможності молоді, що включає: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формування у молоді розуміння потреби навчатися впродовж життя, розвиток молодої людини як цілісної особистості, яка поєднує невпинний фізичний, емоційний та інтелектуальний розвиток;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підвищення у молоді здатності швидко адаптуватися до нових умов, критично оцінювати і реагувати на нові виклики та процеси, що відбуваються в державі та світі;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формування критичного мислення, підвищення медіаграмотності;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розвиток лідерства та лідерських навичок (саморозвиток, міжособистісні стосунки та суспільна відповідальність);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сприяння створенню умов для розвитку спроможності інститутів громадянського суспільства у молодіжній сфері;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посилення співпраці органів місцевого самоврядування з інститутами громадянського суспільства;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ознайомлення молоді з процесами державотворення, діяльністю органів місцевого самоврядування;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розвиток змістовного дозвілля, підтримка творчої та талановитої молоді;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розвиток неформальної освіти для молоді;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підвищення рівня мобільності молоді, зокрема шляхом здійснення обмінів у межах України та у партнерстві з іншими державами;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-розвиток та підтримка молодіжних центрів/просторів;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підготовка фахівців, які працюють з дітьми та молоддю, у тому числі молодіжних працівників;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створення умов та можливостей для розвитку та посилення спроможності органів учнівського та студентського самоврядування, молодіжних рад як дієвих інструментів участі молодих людей у процесах ухвалення рішень та їх навчання;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підвищення рівня фінансової та цифрової грамотності, підприємливості;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 підвищення рівня медіаграмотності;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підвищення рівня конкурентоспроможності молоді та здійснення консультування щодо професійного і кар’єрного розвитку, враховуючи їх власні інтереси, можливості та потреби ринку праці;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формування культури підприємництва серед молоді, розвитку інноваційного потенціалу та молодіжного підприємництва, у тому числі соціального (з підтримкою молодіжних стартапів та креативних індустрій);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здійснення  заходів, спрямованих на інтеграцію молоді у світову та європейську молодіжні спільноти.</w:t>
      </w:r>
    </w:p>
    <w:p w:rsidR="005B55FA" w:rsidRPr="00AF43E7" w:rsidRDefault="00F33E2B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.4.  Залучення до здорового способу життя шляхом: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формування відповідального ставлення до власного здоров’я;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розвитку безпеки життєдіяльності;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lastRenderedPageBreak/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підвищення рівня духовного життя;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сприяння усвідомленню потреби збереження репродуктивного та сексуального здоров’я, підвищення уваги до статевого виховання;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зміцнення ментального здоров’я (у тому числі надання психологічного допомоги);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безпечного поводження з гаджетами та мережею Інтернет (Кібербезпека);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популяризацію принципів здорового харчування та поширення знань та навичок здорового харчування (споживання здорової їжі та напоїв);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сприяння розвитку неформальних видів спортивних рухів, вуличних тренувань та масової фізичної культури;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запобігання поширенню інфекційних хвороб та профілактика неінфекційних захворювань</w:t>
      </w:r>
    </w:p>
    <w:p w:rsidR="005B55FA" w:rsidRPr="00AF43E7" w:rsidRDefault="00F33E2B" w:rsidP="005B55FA">
      <w:pPr>
        <w:spacing w:before="240" w:after="0" w:line="240" w:lineRule="auto"/>
        <w:ind w:firstLine="567"/>
        <w:contextualSpacing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.5.  Підтримка соціально вразливої молоді через: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залучення соціально вразливої молоді до волонтерської діяльності;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сприяння поширенню толерантності і солідарності молоді, забезпечення умов для рівної участі всіх груп молоді у суспільному житті, запобігання стереотипам, протидії мові ненависті та дискримінації за будь-якими ознаками;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соціалізацію підлітків з сімей, що перебувають у складних життєвих обставинах, дітей-сиріт, вихованців та випускників інтернатних закладів, молодих сімей, які потребують допомоги, молодих людей з інвалідністю; що належить до окремих етнічних груп; з різними видами залежності;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реінтеграцію молоді з числа учасників бойових дій та їх сімей у суспільному житті;</w:t>
      </w:r>
    </w:p>
    <w:p w:rsidR="00EF035F" w:rsidRPr="005B55FA" w:rsidRDefault="005B55FA" w:rsidP="00EF035F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реінтеграцію молоді з числа внутрішньо переміщених осіб, а також тих, які проживають на лінії зіткнення або на тимчасово окупованій території; реінтеграцію молодих громадян, що звільнилися з місць позбавлення волі.</w:t>
      </w:r>
    </w:p>
    <w:p w:rsidR="005B55FA" w:rsidRPr="005B55FA" w:rsidRDefault="00F33E2B" w:rsidP="005B55FA">
      <w:pPr>
        <w:spacing w:before="240" w:after="0" w:line="240" w:lineRule="auto"/>
        <w:ind w:left="360" w:firstLine="567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="005B55FA" w:rsidRPr="00EB239C">
        <w:rPr>
          <w:rFonts w:ascii="Times New Roman" w:eastAsia="Times New Roman" w:hAnsi="Times New Roman"/>
          <w:b/>
          <w:noProof/>
          <w:sz w:val="28"/>
          <w:szCs w:val="28"/>
        </w:rPr>
        <w:t>.</w:t>
      </w:r>
      <w:r w:rsidR="005B55FA" w:rsidRPr="00D6471B">
        <w:rPr>
          <w:rFonts w:ascii="Times New Roman" w:eastAsia="Times New Roman" w:hAnsi="Times New Roman"/>
          <w:b/>
          <w:noProof/>
          <w:color w:val="FF0000"/>
          <w:sz w:val="28"/>
          <w:szCs w:val="28"/>
        </w:rPr>
        <w:t xml:space="preserve"> </w:t>
      </w:r>
      <w:r w:rsidR="005B55FA">
        <w:rPr>
          <w:rFonts w:ascii="Times New Roman" w:eastAsia="Times New Roman" w:hAnsi="Times New Roman"/>
          <w:b/>
          <w:noProof/>
          <w:sz w:val="28"/>
          <w:szCs w:val="28"/>
        </w:rPr>
        <w:t>Перелік завдань і заходів Програми, результативні показники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.1. Підвищення спроможності, публічності та демократичного врядування інститутів громадянського суспільства у молодіжній сфері, через: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запровадження механізму інституційної підтримки молодіжних та дитячих громадських організацій;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здійснення навчання для представників інститутів громадянського суспільства у молодіжній сфері, у тому числі, молодіжних та дитячих громадських організацій;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надання в установленому порядку фінансової підтримки для реалізації їх проєктів.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.2. Підвищення рівня культури волонтерства серед дітей та молоді через: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підвищення спроможності організацій, що залучаються до своєї діяльності волонтерів;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 здійснення навчання представників організацій, що залучають до своєї діяльності волонтерів, та фахівців, що розповідають про волонтерську діяльність; реалізацію заходів, спрямованих на розвиток культури волонтерства серед дітей та молоді.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.3. Активізація залучення молоді до процесів ухвалення рішень (у тому числі підвищення рівня її поінформованості щодо інструментів участі) через: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lastRenderedPageBreak/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сприяння створенню та розвитку молодіжних консультативно-дорадчих органів та органів учнівського самоврядування;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застосування електронних форм демократичного врядування (петиції, запити, інше), різноманітних форм громадських бюджетів участі тощо;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.4.</w:t>
      </w:r>
      <w:r w:rsidR="005B55FA"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Підвищення рівня мобільності молоді, зокрема шляхом здійснення обмінів у межах України та у партнерстві з іншими державами;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.5. Розвиток молодіжних центрів та просторів через підвищення рівня їх спроможності та якості їх діяльності;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.6.</w:t>
      </w:r>
      <w:r w:rsidR="005B55FA"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Підвищення рівня громадянських компетентностей молоді та компетентностей для розуміння потреби навчатися впродовж життя, інтеграції у суспільне життя, адаптації до викликів сучасного світу, визначення свідомого вибору життєвого шляху, формування відповідального ставлення до: власного здоров’я, планування сім’ї та батьківства, навколишнього природного середовища.</w:t>
      </w:r>
    </w:p>
    <w:p w:rsidR="005B55FA" w:rsidRPr="00AF43E7" w:rsidRDefault="00F33E2B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.7. Максимальне сприяння духовному та фізичному розвитку молоді, вихованню почуття громадянської самосвідомості та патріотизму, бажання активно сприяти утвердженню державності в Україні;</w:t>
      </w:r>
    </w:p>
    <w:p w:rsidR="00EF035F" w:rsidRDefault="00F33E2B" w:rsidP="00EF035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="005B55FA" w:rsidRPr="00AF43E7">
        <w:rPr>
          <w:rFonts w:ascii="Times New Roman" w:eastAsia="Times New Roman" w:hAnsi="Times New Roman"/>
          <w:noProof/>
          <w:sz w:val="28"/>
          <w:szCs w:val="28"/>
        </w:rPr>
        <w:t>.8. Сприяння реалізації творчого потенціалу молодої людини в інтересах становлення й самореалізації її особистості, формування морально-правової культури та профілактики негативних явищ в дитячому та молодіжному середовищах.</w:t>
      </w:r>
    </w:p>
    <w:p w:rsidR="0027621A" w:rsidRPr="00EF035F" w:rsidRDefault="00F33E2B" w:rsidP="00EF035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27621A" w:rsidRPr="0027621A">
        <w:rPr>
          <w:rFonts w:ascii="Times New Roman" w:hAnsi="Times New Roman"/>
          <w:b/>
          <w:color w:val="000000"/>
          <w:sz w:val="28"/>
          <w:szCs w:val="28"/>
          <w:lang w:eastAsia="ru-RU"/>
        </w:rPr>
        <w:t>. Аналіз впливу заходів Програми на соціально-економічне становище різних категорій жінок та чоловіків, а також на забезпечення гендерної рівності</w:t>
      </w:r>
    </w:p>
    <w:p w:rsidR="0027621A" w:rsidRPr="0027621A" w:rsidRDefault="0027621A" w:rsidP="002762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1A">
        <w:rPr>
          <w:rFonts w:ascii="Times New Roman" w:eastAsia="Times New Roman" w:hAnsi="Times New Roman"/>
          <w:sz w:val="28"/>
          <w:szCs w:val="28"/>
          <w:lang w:eastAsia="ru-RU"/>
        </w:rPr>
        <w:t xml:space="preserve">Заходи Програми спрямовані на задоволення інтересів різних цільових груп населення громади. Це учні закладів загальної середньої освіти і студенти, організацій та установ громади. І саме в цієї категорії населення громади формування відповідальної поведінки супроводжується складними процесами самоствердження і засвоєння нових ролей. А таке самоствердження завжди супроводжується необхідністю прийняття самостійних рішень, що, у свою чергу, підвищує рівень відповідальності молодої людини. Тому,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робота</w:t>
      </w:r>
      <w:r w:rsidRPr="0027621A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Молодіжної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виконавчому комітеті Троїцької сільської ради</w:t>
      </w:r>
      <w:r w:rsidRPr="0027621A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активізує молодь до процесів прийняття та ухвалення рішень.</w:t>
      </w:r>
    </w:p>
    <w:p w:rsidR="0027621A" w:rsidRPr="0027621A" w:rsidRDefault="0027621A" w:rsidP="002762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2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Одним із пріоритетних завдань Програми є сприяння поширенню толерантності та </w:t>
      </w:r>
      <w:r w:rsidRPr="002762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>солідарності молоді,</w:t>
      </w:r>
      <w:r w:rsidRPr="00276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62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забезпечення умов для рівної участі всіх груп молоді у суспільному житті, протидії мові ненависті та дискримінації за будь-якими ознаками, підтримка та заохочення соціально вразливих груп молоді до інтеграції у суспільне життя.</w:t>
      </w:r>
    </w:p>
    <w:p w:rsidR="0027621A" w:rsidRDefault="0027621A" w:rsidP="002762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27621A">
        <w:rPr>
          <w:rFonts w:ascii="Times New Roman" w:eastAsia="Times New Roman" w:hAnsi="Times New Roman"/>
          <w:sz w:val="28"/>
          <w:szCs w:val="28"/>
          <w:lang w:eastAsia="ru-RU"/>
        </w:rPr>
        <w:t>Також заходи Програми спрямовані на визначення зацікавленості різних цільових груп в організації та проведенні молодіжних заходів (з урахуванням вікових та соціальних особливостей молодих жінок і чоловіків, потреб молоді сільської та міської місцевостей тощо). В тому числі враховувати результати опитувань під час складання календарного плану молодіжних заходів. Залучення широкого спектру молодіжних та інших громадських організацій до проведення заходів, спрямованих на реалізацію молодіжної політики в громаді</w:t>
      </w:r>
    </w:p>
    <w:p w:rsidR="00D6471B" w:rsidRPr="00D6471B" w:rsidRDefault="00F33E2B" w:rsidP="00D6471B">
      <w:pPr>
        <w:keepNext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</w:t>
      </w:r>
      <w:r w:rsidR="00D6471B" w:rsidRPr="00D647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6471B" w:rsidRPr="00D64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471B" w:rsidRPr="00D647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Якісні та кількісні показники результативності Програми, </w:t>
      </w:r>
      <w:r w:rsidR="00D6471B" w:rsidRPr="00D6471B">
        <w:rPr>
          <w:rFonts w:ascii="Times New Roman" w:hAnsi="Times New Roman"/>
          <w:b/>
          <w:sz w:val="28"/>
          <w:szCs w:val="28"/>
        </w:rPr>
        <w:t>індикатори Програми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Виконання Програми дасть змогу: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популяризувати у молодіжному середовищі здоровий та активний спосіб життя, інтелектуальне дозвілля, стимулювати молодь до естетичного розвитку, самоосвіти, самовдосконалення;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створити умови для підвищення </w:t>
      </w:r>
      <w:r w:rsidR="0027621A"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компетентносте</w:t>
      </w:r>
      <w:r w:rsidR="002762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й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молодіжних лідерів, підвищення якості та ефективності реалізації заходів для молоді;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збільшити кількість молодих людей, які беруть активну участь у роботі органів учнівського самоврядування 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налагодження більш активної роботи 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Молодіжної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 виконавчому комітеті Троїцької сільської ради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підвищити ефективність функціонування таких органів;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залучити молодих людей до прийняття рішень, які безпосередньо впливають на їхнє життя;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збільшити кількість фахівців та молодіжних лідерів, які пройшли навчання за програмою «Молодіжний працівник», налагодити системну молодіжну роботу в громаді;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активізувати молодь громади, шляхом організації заходів направлених на патріотичне виховання та громадянської свідомості молоді;</w:t>
      </w:r>
    </w:p>
    <w:p w:rsidR="00D6471B" w:rsidRPr="00D6471B" w:rsidRDefault="00D6471B" w:rsidP="00D6471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покращити дозвілля для молоді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Троїцької 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територіальної громади;</w:t>
      </w:r>
    </w:p>
    <w:p w:rsidR="00D6471B" w:rsidRPr="00EF035F" w:rsidRDefault="00D6471B" w:rsidP="00EF035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в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изначити цінності та потреби молоді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Троїцької </w:t>
      </w:r>
      <w:r w:rsidRPr="00D647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громади, а також ефективність здійснення заходів в рамках виконання Програми.</w:t>
      </w:r>
    </w:p>
    <w:p w:rsidR="005B55FA" w:rsidRPr="00AF43E7" w:rsidRDefault="00F33E2B" w:rsidP="00EF035F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7</w:t>
      </w:r>
      <w:r w:rsidR="005B55FA" w:rsidRPr="00EB239C">
        <w:rPr>
          <w:rFonts w:ascii="Times New Roman" w:eastAsia="Times New Roman" w:hAnsi="Times New Roman"/>
          <w:b/>
          <w:noProof/>
          <w:sz w:val="28"/>
          <w:szCs w:val="28"/>
        </w:rPr>
        <w:t xml:space="preserve">. </w:t>
      </w:r>
      <w:r w:rsidR="005B55FA" w:rsidRPr="00AF43E7">
        <w:rPr>
          <w:rFonts w:ascii="Times New Roman" w:eastAsia="Times New Roman" w:hAnsi="Times New Roman"/>
          <w:b/>
          <w:noProof/>
          <w:sz w:val="28"/>
          <w:szCs w:val="28"/>
        </w:rPr>
        <w:t>Механізм реалізації та контроль за  виконанням програми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Реалізація завдань у напрямах та здійснення відповідних заходів програми сприятимуть зменшенню бар’єрів щодо участі інститутів громадянського суспільства, насамперед молодіжних та дитячих громадських організацій, у формуванні та реалізації державної політики. А також забезпечать їх новими інструментами для участі молоді у вирішенні суспільних проблем, одночасно передбачивши їх роботу з інформування молоді про свою діяльність щодо участі у реалізації державної політики у молодіжній сфері, консультування з молоддю щодо вдосконалення державної молодіжної політики, залучення молодих людей, які не є членами громадських об’єднань, до участі у програмах, проєктах, заходах, що реалізуються на місцевому рівні і за підтримки органів місцевого самоврядування.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У  розробленні механізмів реалізації державної молодіжної політики акцент має бути поставлений на активну співпрацю органів місцевого самоврядування та громадських організацій, як на благо окремих молодих людей, так і в інтересах суспільства, міста, громади в цілому.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Саме тому механізм реалізації програми  передбачає, що все, що у сфері молодіжної політики може бути реалізовано силами молоді, її громадськими організаціями, має передаватися в їхнє підпорядкування і підтримуватися відповідними організаціями та установами.</w:t>
      </w:r>
    </w:p>
    <w:p w:rsidR="005B55FA" w:rsidRPr="005866CF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866CF">
        <w:rPr>
          <w:rFonts w:ascii="Times New Roman" w:eastAsia="Times New Roman" w:hAnsi="Times New Roman"/>
          <w:noProof/>
          <w:sz w:val="28"/>
          <w:szCs w:val="28"/>
        </w:rPr>
        <w:t>Координація виконання заходів Програми покладається на відділ соціально-гуманітарного розвитку виконавчого комітету Троїцької сільської ради.</w:t>
      </w:r>
    </w:p>
    <w:p w:rsidR="005B55FA" w:rsidRPr="005866CF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866CF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 Контрол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ь за </w:t>
      </w:r>
      <w:r w:rsidRPr="005866CF">
        <w:rPr>
          <w:rFonts w:ascii="Times New Roman" w:eastAsia="Times New Roman" w:hAnsi="Times New Roman"/>
          <w:noProof/>
          <w:sz w:val="28"/>
          <w:szCs w:val="28"/>
        </w:rPr>
        <w:t>виконання</w:t>
      </w:r>
      <w:r>
        <w:rPr>
          <w:rFonts w:ascii="Times New Roman" w:eastAsia="Times New Roman" w:hAnsi="Times New Roman"/>
          <w:noProof/>
          <w:sz w:val="28"/>
          <w:szCs w:val="28"/>
        </w:rPr>
        <w:t>м</w:t>
      </w:r>
      <w:r w:rsidRPr="005866CF">
        <w:rPr>
          <w:rFonts w:ascii="Times New Roman" w:eastAsia="Times New Roman" w:hAnsi="Times New Roman"/>
          <w:noProof/>
          <w:sz w:val="28"/>
          <w:szCs w:val="28"/>
        </w:rPr>
        <w:t xml:space="preserve"> Програми </w:t>
      </w:r>
      <w:r>
        <w:rPr>
          <w:rFonts w:ascii="Times New Roman" w:eastAsia="Times New Roman" w:hAnsi="Times New Roman"/>
          <w:noProof/>
          <w:sz w:val="28"/>
          <w:szCs w:val="28"/>
        </w:rPr>
        <w:t>покладається на пост</w:t>
      </w:r>
      <w:r w:rsidRPr="005866CF">
        <w:rPr>
          <w:rFonts w:ascii="Times New Roman" w:eastAsia="Times New Roman" w:hAnsi="Times New Roman"/>
          <w:noProof/>
          <w:sz w:val="28"/>
          <w:szCs w:val="28"/>
        </w:rPr>
        <w:t>ійн</w:t>
      </w:r>
      <w:r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5866CF">
        <w:rPr>
          <w:rFonts w:ascii="Times New Roman" w:eastAsia="Times New Roman" w:hAnsi="Times New Roman"/>
          <w:noProof/>
          <w:sz w:val="28"/>
          <w:szCs w:val="28"/>
        </w:rPr>
        <w:t xml:space="preserve"> комісі</w:t>
      </w:r>
      <w:r>
        <w:rPr>
          <w:rFonts w:ascii="Times New Roman" w:eastAsia="Times New Roman" w:hAnsi="Times New Roman"/>
          <w:noProof/>
          <w:sz w:val="28"/>
          <w:szCs w:val="28"/>
        </w:rPr>
        <w:t>ю</w:t>
      </w:r>
      <w:r w:rsidRPr="005866CF">
        <w:rPr>
          <w:rFonts w:ascii="Times New Roman" w:eastAsia="Times New Roman" w:hAnsi="Times New Roman"/>
          <w:noProof/>
          <w:sz w:val="28"/>
          <w:szCs w:val="28"/>
        </w:rPr>
        <w:t xml:space="preserve"> з гуманітарних питань, прав людини, законності, депутатської діяльності</w:t>
      </w:r>
      <w:r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Механізм реалізації програми передбачає діяльність інших відділів і служб, залучення до вирішення молодіжних проблем громадських організацій, підприємців, науковців, засобів масової інформації та інших соціальних інститутів.</w:t>
      </w:r>
    </w:p>
    <w:p w:rsidR="005B55FA" w:rsidRPr="00AF43E7" w:rsidRDefault="00F33E2B" w:rsidP="00EF035F">
      <w:pPr>
        <w:shd w:val="clear" w:color="auto" w:fill="FFFFFF"/>
        <w:spacing w:before="240" w:after="0" w:line="240" w:lineRule="auto"/>
        <w:ind w:firstLine="556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8</w:t>
      </w:r>
      <w:r w:rsidR="005B55FA" w:rsidRPr="00EB239C">
        <w:rPr>
          <w:rFonts w:ascii="Times New Roman" w:eastAsia="Times New Roman" w:hAnsi="Times New Roman"/>
          <w:b/>
          <w:noProof/>
          <w:sz w:val="28"/>
          <w:szCs w:val="28"/>
        </w:rPr>
        <w:t xml:space="preserve">. </w:t>
      </w:r>
      <w:r w:rsidR="005B55FA" w:rsidRPr="00AF43E7">
        <w:rPr>
          <w:rFonts w:ascii="Times New Roman" w:eastAsia="Times New Roman" w:hAnsi="Times New Roman"/>
          <w:b/>
          <w:noProof/>
          <w:sz w:val="28"/>
          <w:szCs w:val="28"/>
        </w:rPr>
        <w:t>Фінансове забезпечення програми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  <w:highlight w:val="white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Фінансування програми здійснюється за рахунок коштів бюджету Троїцької сільської територіальної громади в межах загальних асигнувань, передбачених головним розпорядником бюджетних коштів – виконавцями відповідних заходів протягом 202</w:t>
      </w:r>
      <w:r>
        <w:rPr>
          <w:rFonts w:ascii="Times New Roman" w:eastAsia="Times New Roman" w:hAnsi="Times New Roman"/>
          <w:noProof/>
          <w:sz w:val="28"/>
          <w:szCs w:val="28"/>
        </w:rPr>
        <w:t>6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-202</w:t>
      </w:r>
      <w:r>
        <w:rPr>
          <w:rFonts w:ascii="Times New Roman" w:eastAsia="Times New Roman" w:hAnsi="Times New Roman"/>
          <w:noProof/>
          <w:sz w:val="28"/>
          <w:szCs w:val="28"/>
        </w:rPr>
        <w:t>8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 років та інших джерел, передбачених  законодавством України.  </w:t>
      </w:r>
    </w:p>
    <w:p w:rsidR="005B55FA" w:rsidRPr="00AF43E7" w:rsidRDefault="005B55FA" w:rsidP="00EF035F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ab/>
        <w:t xml:space="preserve">Відділ </w:t>
      </w:r>
      <w:r w:rsidR="000834A8">
        <w:rPr>
          <w:rFonts w:ascii="Times New Roman" w:eastAsia="Times New Roman" w:hAnsi="Times New Roman"/>
          <w:noProof/>
          <w:sz w:val="28"/>
          <w:szCs w:val="28"/>
        </w:rPr>
        <w:t xml:space="preserve">освіти, культури, молоді та спорту </w:t>
      </w:r>
      <w:r w:rsidRPr="00AF43E7">
        <w:rPr>
          <w:rFonts w:ascii="Times New Roman" w:eastAsia="Times New Roman" w:hAnsi="Times New Roman"/>
          <w:noProof/>
          <w:sz w:val="28"/>
          <w:szCs w:val="28"/>
        </w:rPr>
        <w:t xml:space="preserve"> виконавчого комітету Троїцької сільської ради може делегувати громадським організаціям повноваження щодо реалізації заходів, спрямованих на виконання програми. У цьому випадку вони надають їм організаційну та інформаційно-методичну допомогу в установленому порядку, здійснюють контроль за реалізацією наданих повноважень.</w:t>
      </w:r>
    </w:p>
    <w:p w:rsidR="005B55FA" w:rsidRPr="00AF43E7" w:rsidRDefault="00F33E2B" w:rsidP="00EF035F">
      <w:pPr>
        <w:spacing w:before="240"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9</w:t>
      </w:r>
      <w:r w:rsidR="00EB239C" w:rsidRPr="00EB239C">
        <w:rPr>
          <w:rFonts w:ascii="Times New Roman" w:eastAsia="Times New Roman" w:hAnsi="Times New Roman"/>
          <w:b/>
          <w:noProof/>
          <w:sz w:val="28"/>
          <w:szCs w:val="28"/>
        </w:rPr>
        <w:t>.</w:t>
      </w:r>
      <w:r w:rsidR="005B55FA" w:rsidRPr="00EB239C">
        <w:rPr>
          <w:rFonts w:ascii="Times New Roman" w:eastAsia="Times New Roman" w:hAnsi="Times New Roman"/>
          <w:b/>
          <w:noProof/>
          <w:sz w:val="28"/>
          <w:szCs w:val="28"/>
        </w:rPr>
        <w:t xml:space="preserve"> </w:t>
      </w:r>
      <w:r w:rsidR="005B55FA" w:rsidRPr="00AF43E7">
        <w:rPr>
          <w:rFonts w:ascii="Times New Roman" w:eastAsia="Times New Roman" w:hAnsi="Times New Roman"/>
          <w:b/>
          <w:noProof/>
          <w:sz w:val="28"/>
          <w:szCs w:val="28"/>
        </w:rPr>
        <w:t>Очікувані  результати виконання програми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Виконання програми забезпечить: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збільшення кількості молоді, яка бере участь у суспільному житті; шляхом інформування про можливості, наявні та нові інструменти участі, що включає участь у: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діяльності інститутів громадянського суспільства, у тому числі молодіжних та дитячих громадських організаціях, молодіжних просторів/центрів, волонтерських ініціатив, благодійних та гуманітарних організаціях, у тому числі щодо охорони довкілля, органів учнівського та студентського самоврядування, молодіжних консультативно-дорадчих органів;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діяльності у процесі ухвалення рішень щодо важливих суспільних питань на місцевому рівні;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суспільно-політичній діяльності, політичних процесах, що відбуваються в Україні, зокрема зацікавленості новинами, що висвітлюють діяльність органів місцевого самоврядування;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зростання кількості молоді, яка засвоїла нові знання, поглибила наявні та здобула нові компетентності з метою самореалізації, професійного та кар’єрного розвитку, здійснення підприємницької діяльності;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зростання зацікавленості юнаків та дівчат до оволодіння  культурними цінностями українського народу;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збільшення кількості молоді зацікавленої у формування високих моральних, культурних, загальнолюдських цінностей, утвердження почуття патріотизму та національної самосвідомості;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зростання кількості молоді, яка відповідально ставиться до власного здоров’я; дотримується здорового харчування та регулярно займається спортом або руховою активністю; має низький рівень захворювань, у тому числі тих, що передаються статевим шляхом, та відчуття депресії, тривожності, паніки і втоми);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lastRenderedPageBreak/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зростання кількості молоді, яка відповідально ставиться до планування сім’ї та батьківства;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зниження кількості молоді, яка особисто стикається з проявами дискримінації та соціальною дистанцією (негативним ставленням) до себе;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підвищення спроможності інститутів громадянського суспільства у молодіжній сфері через підготовку кваліфікованого персоналу, створення умов для надання ресурсів та інформації для роботи і організації молодіжних заходів для досягнення мети програми;</w:t>
      </w:r>
    </w:p>
    <w:p w:rsidR="005B55FA" w:rsidRPr="00AF43E7" w:rsidRDefault="005B55FA" w:rsidP="005B55FA">
      <w:pPr>
        <w:spacing w:before="240"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-</w:t>
      </w:r>
      <w:r w:rsidRPr="00AF43E7">
        <w:rPr>
          <w:rFonts w:ascii="Times New Roman" w:eastAsia="Times New Roman" w:hAnsi="Times New Roman"/>
          <w:noProof/>
          <w:sz w:val="14"/>
          <w:szCs w:val="14"/>
        </w:rPr>
        <w:tab/>
      </w:r>
      <w:r w:rsidRPr="00AF43E7">
        <w:rPr>
          <w:rFonts w:ascii="Times New Roman" w:eastAsia="Times New Roman" w:hAnsi="Times New Roman"/>
          <w:noProof/>
          <w:sz w:val="28"/>
          <w:szCs w:val="28"/>
        </w:rPr>
        <w:t>зростання кількості та якості подій у молодіжних просторах/центрах, а також збільшення частки молоді, яка задоволена якістю послуг, що вони надають.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noProof/>
          <w:sz w:val="28"/>
          <w:szCs w:val="28"/>
        </w:rPr>
        <w:t>У разі потреби щорічно може здійснюватися перегляд запланованої діяльності, пошук та впровадження більш ефективних способів розв’язання проблем молоді.</w:t>
      </w:r>
    </w:p>
    <w:p w:rsidR="005B55FA" w:rsidRPr="00AF43E7" w:rsidRDefault="005B55FA" w:rsidP="005B5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5B55FA" w:rsidRPr="00AF43E7" w:rsidRDefault="005B55FA" w:rsidP="005B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5B55FA" w:rsidRPr="00AF43E7" w:rsidRDefault="005B55FA" w:rsidP="005B55FA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AF43E7">
        <w:rPr>
          <w:rFonts w:ascii="Times New Roman" w:eastAsia="Times New Roman" w:hAnsi="Times New Roman"/>
          <w:b/>
          <w:noProof/>
          <w:sz w:val="28"/>
          <w:szCs w:val="28"/>
        </w:rPr>
        <w:t>Секретар сільської ради</w:t>
      </w:r>
      <w:r w:rsidRPr="00AF43E7">
        <w:rPr>
          <w:rFonts w:ascii="Times New Roman" w:eastAsia="Times New Roman" w:hAnsi="Times New Roman"/>
          <w:b/>
          <w:noProof/>
          <w:sz w:val="28"/>
          <w:szCs w:val="28"/>
        </w:rPr>
        <w:tab/>
      </w:r>
      <w:r w:rsidRPr="00AF43E7">
        <w:rPr>
          <w:rFonts w:ascii="Times New Roman" w:eastAsia="Times New Roman" w:hAnsi="Times New Roman"/>
          <w:b/>
          <w:noProof/>
          <w:sz w:val="28"/>
          <w:szCs w:val="28"/>
        </w:rPr>
        <w:tab/>
      </w:r>
      <w:r w:rsidRPr="00AF43E7">
        <w:rPr>
          <w:rFonts w:ascii="Times New Roman" w:eastAsia="Times New Roman" w:hAnsi="Times New Roman"/>
          <w:b/>
          <w:noProof/>
          <w:sz w:val="28"/>
          <w:szCs w:val="28"/>
        </w:rPr>
        <w:tab/>
        <w:t xml:space="preserve">                              Лариса КРУПСЬКА</w:t>
      </w: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b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Pr="00AF43E7" w:rsidRDefault="005B55FA" w:rsidP="005B55FA">
      <w:pPr>
        <w:spacing w:after="0" w:line="240" w:lineRule="auto"/>
        <w:ind w:left="7788" w:firstLine="567"/>
        <w:rPr>
          <w:rFonts w:ascii="Times New Roman" w:hAnsi="Times New Roman"/>
          <w:noProof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5B55FA" w:rsidRDefault="005B55FA" w:rsidP="005B55FA">
      <w:pPr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4D5918" w:rsidRDefault="00D7523A"/>
    <w:sectPr w:rsidR="004D5918" w:rsidSect="00AF43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3A" w:rsidRDefault="00D7523A" w:rsidP="00F33E2B">
      <w:pPr>
        <w:spacing w:after="0" w:line="240" w:lineRule="auto"/>
      </w:pPr>
      <w:r>
        <w:separator/>
      </w:r>
    </w:p>
  </w:endnote>
  <w:endnote w:type="continuationSeparator" w:id="0">
    <w:p w:rsidR="00D7523A" w:rsidRDefault="00D7523A" w:rsidP="00F3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3A" w:rsidRDefault="00D7523A" w:rsidP="00F33E2B">
      <w:pPr>
        <w:spacing w:after="0" w:line="240" w:lineRule="auto"/>
      </w:pPr>
      <w:r>
        <w:separator/>
      </w:r>
    </w:p>
  </w:footnote>
  <w:footnote w:type="continuationSeparator" w:id="0">
    <w:p w:rsidR="00D7523A" w:rsidRDefault="00D7523A" w:rsidP="00F3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8EB"/>
    <w:multiLevelType w:val="hybridMultilevel"/>
    <w:tmpl w:val="2B441A0C"/>
    <w:lvl w:ilvl="0" w:tplc="16F2BB12">
      <w:start w:val="2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21853327"/>
    <w:multiLevelType w:val="hybridMultilevel"/>
    <w:tmpl w:val="A50412A6"/>
    <w:lvl w:ilvl="0" w:tplc="E12ABCBA">
      <w:start w:val="2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0F32"/>
    <w:multiLevelType w:val="hybridMultilevel"/>
    <w:tmpl w:val="305A3C00"/>
    <w:lvl w:ilvl="0" w:tplc="0419000F">
      <w:start w:val="1"/>
      <w:numFmt w:val="decimal"/>
      <w:lvlText w:val="%1."/>
      <w:lvlJc w:val="left"/>
      <w:pPr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ind w:left="77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45"/>
    <w:rsid w:val="000834A8"/>
    <w:rsid w:val="000B0484"/>
    <w:rsid w:val="0027621A"/>
    <w:rsid w:val="00327286"/>
    <w:rsid w:val="003E3745"/>
    <w:rsid w:val="004C5303"/>
    <w:rsid w:val="005B55FA"/>
    <w:rsid w:val="00D6471B"/>
    <w:rsid w:val="00D7523A"/>
    <w:rsid w:val="00E55827"/>
    <w:rsid w:val="00EB239C"/>
    <w:rsid w:val="00EF035F"/>
    <w:rsid w:val="00F33E2B"/>
    <w:rsid w:val="00FA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9A1C"/>
  <w15:chartTrackingRefBased/>
  <w15:docId w15:val="{8F420ED7-6A5A-42A9-A09C-F434310B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F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FA"/>
    <w:pPr>
      <w:ind w:left="720"/>
      <w:contextualSpacing/>
    </w:pPr>
  </w:style>
  <w:style w:type="character" w:customStyle="1" w:styleId="rvts44">
    <w:name w:val="rvts44"/>
    <w:basedOn w:val="a0"/>
    <w:rsid w:val="005B55FA"/>
  </w:style>
  <w:style w:type="paragraph" w:styleId="a4">
    <w:name w:val="header"/>
    <w:basedOn w:val="a"/>
    <w:link w:val="a5"/>
    <w:uiPriority w:val="99"/>
    <w:unhideWhenUsed/>
    <w:rsid w:val="00F33E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3E2B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F33E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3E2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PHILIPS4</dc:creator>
  <cp:keywords/>
  <dc:description/>
  <cp:lastModifiedBy>LogicPower</cp:lastModifiedBy>
  <cp:revision>7</cp:revision>
  <dcterms:created xsi:type="dcterms:W3CDTF">2025-07-22T06:45:00Z</dcterms:created>
  <dcterms:modified xsi:type="dcterms:W3CDTF">2025-08-18T09:46:00Z</dcterms:modified>
</cp:coreProperties>
</file>